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A31F" w14:textId="0C90ED5C"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165D84C8" w14:textId="79AEC8B4" w:rsidR="00A75432" w:rsidRPr="00984C82" w:rsidRDefault="00317577" w:rsidP="00B72863">
      <w:pPr>
        <w:jc w:val="center"/>
        <w:rPr>
          <w:b/>
          <w:bCs/>
          <w:sz w:val="24"/>
          <w:szCs w:val="24"/>
        </w:rPr>
      </w:pPr>
      <w:r>
        <w:rPr>
          <w:b/>
          <w:bCs/>
          <w:sz w:val="24"/>
          <w:szCs w:val="24"/>
        </w:rPr>
        <w:t xml:space="preserve">CASE MANAGEMENT </w:t>
      </w:r>
      <w:r w:rsidR="00B72863" w:rsidRPr="00984C82">
        <w:rPr>
          <w:b/>
          <w:bCs/>
          <w:sz w:val="24"/>
          <w:szCs w:val="24"/>
        </w:rPr>
        <w:t>ORDER SETTING CASE FOR</w:t>
      </w:r>
      <w:r w:rsidR="00A75432" w:rsidRPr="00984C82">
        <w:rPr>
          <w:b/>
          <w:bCs/>
          <w:sz w:val="24"/>
          <w:szCs w:val="24"/>
        </w:rPr>
        <w:t xml:space="preserve"> </w:t>
      </w:r>
      <w:r w:rsidR="00B72863" w:rsidRPr="00984C82">
        <w:rPr>
          <w:b/>
          <w:bCs/>
          <w:sz w:val="24"/>
          <w:szCs w:val="24"/>
        </w:rPr>
        <w:t>JURY TRIAL</w:t>
      </w:r>
      <w:r w:rsidR="00A75432" w:rsidRPr="00984C82">
        <w:rPr>
          <w:b/>
          <w:bCs/>
          <w:sz w:val="24"/>
          <w:szCs w:val="24"/>
        </w:rPr>
        <w:t xml:space="preserve"> </w:t>
      </w:r>
      <w:r w:rsidR="00B72863" w:rsidRPr="00984C82">
        <w:rPr>
          <w:b/>
          <w:bCs/>
          <w:sz w:val="24"/>
          <w:szCs w:val="24"/>
        </w:rPr>
        <w:t>AND</w:t>
      </w:r>
    </w:p>
    <w:p w14:paraId="1CBBB9FC" w14:textId="77777777" w:rsidR="00B72863" w:rsidRPr="00984C82" w:rsidRDefault="00B72863" w:rsidP="00B72863">
      <w:pPr>
        <w:jc w:val="center"/>
        <w:rPr>
          <w:b/>
          <w:bCs/>
          <w:sz w:val="24"/>
          <w:szCs w:val="24"/>
        </w:rPr>
      </w:pPr>
      <w:r w:rsidRPr="00984C82">
        <w:rPr>
          <w:b/>
          <w:bCs/>
          <w:sz w:val="24"/>
          <w:szCs w:val="24"/>
        </w:rPr>
        <w:t>PRETRIAL CONFERENCE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33205A5D" w14:textId="42803B88" w:rsidR="00317577" w:rsidRPr="00317577" w:rsidRDefault="00317577" w:rsidP="00317577">
      <w:pPr>
        <w:spacing w:line="480" w:lineRule="auto"/>
        <w:jc w:val="center"/>
        <w:rPr>
          <w:b/>
          <w:bCs/>
          <w:sz w:val="24"/>
          <w:szCs w:val="24"/>
        </w:rPr>
      </w:pPr>
      <w:r w:rsidRPr="00317577">
        <w:rPr>
          <w:b/>
          <w:bCs/>
          <w:sz w:val="24"/>
          <w:szCs w:val="24"/>
        </w:rPr>
        <w:t>Findings, Preliminary Considerations and Judicial Discretion</w:t>
      </w:r>
    </w:p>
    <w:p w14:paraId="22F2F21B" w14:textId="1D458543" w:rsidR="00317577" w:rsidRDefault="00317577" w:rsidP="000343C1">
      <w:pPr>
        <w:ind w:firstLine="720"/>
        <w:jc w:val="both"/>
        <w:rPr>
          <w:sz w:val="24"/>
          <w:szCs w:val="24"/>
        </w:rPr>
      </w:pPr>
      <w:r>
        <w:rPr>
          <w:sz w:val="24"/>
          <w:szCs w:val="24"/>
        </w:rPr>
        <w:t>The Court finds that this cause is at issue pursuant to Fla. R. Civ. P. 1.440(c).  The Court has preliminarily considered such factors as the complexity of the case, the issues to be tried, the availability of witnesses and potential scheduling conflicts that exist between the Court’s calendar and those of counsel.  The Court does have broad discretion as to the actual date on which the trial is set.  However, the Court must comply with Rule 1.440(c) and not set the trial date “less than 30 days from the service of the notice for trial.”  At the other extreme, Fla. R.</w:t>
      </w:r>
      <w:r w:rsidR="00D44386">
        <w:rPr>
          <w:sz w:val="24"/>
          <w:szCs w:val="24"/>
        </w:rPr>
        <w:t xml:space="preserve"> Gen. Prac. &amp;</w:t>
      </w:r>
      <w:r>
        <w:rPr>
          <w:sz w:val="24"/>
          <w:szCs w:val="24"/>
        </w:rPr>
        <w:t xml:space="preserve"> Jud. Admin. 2.250 provides that in civil jury cases, it is “presumptively reasonable” for a case to be completed within 18 months from filing, not service,</w:t>
      </w:r>
      <w:r>
        <w:rPr>
          <w:rStyle w:val="FootnoteReference"/>
          <w:sz w:val="24"/>
          <w:szCs w:val="24"/>
        </w:rPr>
        <w:footnoteReference w:id="1"/>
      </w:r>
      <w:r>
        <w:rPr>
          <w:sz w:val="24"/>
          <w:szCs w:val="24"/>
        </w:rPr>
        <w:t xml:space="preserve"> to final disposition, not verdict.</w:t>
      </w:r>
      <w:r>
        <w:rPr>
          <w:rStyle w:val="FootnoteReference"/>
          <w:sz w:val="24"/>
          <w:szCs w:val="24"/>
        </w:rPr>
        <w:footnoteReference w:id="2"/>
      </w:r>
      <w:r>
        <w:rPr>
          <w:sz w:val="24"/>
          <w:szCs w:val="24"/>
        </w:rPr>
        <w:t xml:space="preserve">  Rule 2.250 must be read in agreement with Fla. R.</w:t>
      </w:r>
      <w:r w:rsidR="00D44386">
        <w:rPr>
          <w:sz w:val="24"/>
          <w:szCs w:val="24"/>
        </w:rPr>
        <w:t xml:space="preserve"> Gen. Pra</w:t>
      </w:r>
      <w:r w:rsidR="00D26E7A">
        <w:rPr>
          <w:sz w:val="24"/>
          <w:szCs w:val="24"/>
        </w:rPr>
        <w:t>c</w:t>
      </w:r>
      <w:r w:rsidR="00D44386">
        <w:rPr>
          <w:sz w:val="24"/>
          <w:szCs w:val="24"/>
        </w:rPr>
        <w:t>. &amp;</w:t>
      </w:r>
      <w:r>
        <w:rPr>
          <w:sz w:val="24"/>
          <w:szCs w:val="24"/>
        </w:rPr>
        <w:t xml:space="preserve"> Jud. Admin. 2.545(a) which provides that:</w:t>
      </w:r>
    </w:p>
    <w:p w14:paraId="4A5CAC31" w14:textId="77777777" w:rsidR="000343C1" w:rsidRDefault="000343C1" w:rsidP="000343C1">
      <w:pPr>
        <w:ind w:firstLine="720"/>
        <w:jc w:val="both"/>
        <w:rPr>
          <w:sz w:val="24"/>
          <w:szCs w:val="24"/>
        </w:rPr>
      </w:pPr>
    </w:p>
    <w:p w14:paraId="576E9548" w14:textId="20FDC73C" w:rsidR="00317577" w:rsidRDefault="00317577" w:rsidP="009E4565">
      <w:pPr>
        <w:ind w:left="1440" w:right="1440"/>
        <w:jc w:val="both"/>
        <w:rPr>
          <w:sz w:val="24"/>
          <w:szCs w:val="24"/>
        </w:rPr>
      </w:pPr>
      <w:r>
        <w:rPr>
          <w:sz w:val="24"/>
          <w:szCs w:val="24"/>
        </w:rPr>
        <w:t xml:space="preserve">Judges and lawyers have a professional obligation to conclude litigation as soon as it is reasonably </w:t>
      </w:r>
      <w:r w:rsidR="009E4565">
        <w:rPr>
          <w:sz w:val="24"/>
          <w:szCs w:val="24"/>
        </w:rPr>
        <w:t xml:space="preserve">and justly possible to do so.  However, parties and counsel shall be afforded a reasonable time to prepare and present their case. </w:t>
      </w:r>
    </w:p>
    <w:p w14:paraId="42D0FC46" w14:textId="70FD4CF4" w:rsidR="009E4565" w:rsidRDefault="009E4565" w:rsidP="009E4565">
      <w:pPr>
        <w:jc w:val="both"/>
        <w:rPr>
          <w:sz w:val="24"/>
          <w:szCs w:val="24"/>
        </w:rPr>
      </w:pPr>
    </w:p>
    <w:p w14:paraId="407E2341" w14:textId="473C69B4" w:rsidR="009E4565" w:rsidRDefault="009E4565" w:rsidP="000343C1">
      <w:pPr>
        <w:jc w:val="both"/>
        <w:rPr>
          <w:sz w:val="24"/>
          <w:szCs w:val="24"/>
        </w:rPr>
      </w:pPr>
      <w:r>
        <w:rPr>
          <w:sz w:val="24"/>
          <w:szCs w:val="24"/>
        </w:rPr>
        <w:t xml:space="preserve">Against this backdrop of competing considerations, the Court recognizes its general obligation to case manage. </w:t>
      </w:r>
    </w:p>
    <w:p w14:paraId="6D145374" w14:textId="77777777" w:rsidR="000343C1" w:rsidRDefault="000343C1" w:rsidP="009E4565">
      <w:pPr>
        <w:spacing w:line="480" w:lineRule="auto"/>
        <w:jc w:val="center"/>
        <w:rPr>
          <w:b/>
          <w:bCs/>
          <w:sz w:val="24"/>
          <w:szCs w:val="24"/>
        </w:rPr>
      </w:pPr>
    </w:p>
    <w:p w14:paraId="73AFFB4D" w14:textId="04D150C5" w:rsidR="009E4565" w:rsidRDefault="009E4565" w:rsidP="009E4565">
      <w:pPr>
        <w:spacing w:line="480" w:lineRule="auto"/>
        <w:jc w:val="center"/>
        <w:rPr>
          <w:b/>
          <w:bCs/>
          <w:sz w:val="24"/>
          <w:szCs w:val="24"/>
        </w:rPr>
      </w:pPr>
      <w:r>
        <w:rPr>
          <w:b/>
          <w:bCs/>
          <w:sz w:val="24"/>
          <w:szCs w:val="24"/>
        </w:rPr>
        <w:lastRenderedPageBreak/>
        <w:t>Previous Case Management Orders (“CMO”)</w:t>
      </w:r>
    </w:p>
    <w:p w14:paraId="3F9273AF" w14:textId="52237A07" w:rsidR="009E4565" w:rsidRDefault="009E4565" w:rsidP="000343C1">
      <w:pPr>
        <w:jc w:val="both"/>
        <w:rPr>
          <w:sz w:val="24"/>
          <w:szCs w:val="24"/>
        </w:rPr>
      </w:pPr>
      <w:r>
        <w:rPr>
          <w:sz w:val="24"/>
          <w:szCs w:val="24"/>
        </w:rPr>
        <w:tab/>
        <w:t>This Order shall super</w:t>
      </w:r>
      <w:r w:rsidR="00654795">
        <w:rPr>
          <w:sz w:val="24"/>
          <w:szCs w:val="24"/>
        </w:rPr>
        <w:t>s</w:t>
      </w:r>
      <w:r>
        <w:rPr>
          <w:sz w:val="24"/>
          <w:szCs w:val="24"/>
        </w:rPr>
        <w:t>ede any pre-signed CMO previously entered pursuant to paragraph 9 of Administrative Order 2021-09 entered by the Chief Judge of the Fourth Judicial Circuit as directed and required by Florida Supreme Court Administrative Order No. AOSC 20-23, Amendment 12.</w:t>
      </w:r>
    </w:p>
    <w:p w14:paraId="50038E03" w14:textId="77777777" w:rsidR="000343C1" w:rsidRDefault="000343C1" w:rsidP="000343C1">
      <w:pPr>
        <w:jc w:val="both"/>
        <w:rPr>
          <w:sz w:val="24"/>
          <w:szCs w:val="24"/>
        </w:rPr>
      </w:pPr>
    </w:p>
    <w:p w14:paraId="378CAC8C" w14:textId="2A779FAA" w:rsidR="009E4565" w:rsidRDefault="009E4565" w:rsidP="000343C1">
      <w:pPr>
        <w:jc w:val="both"/>
        <w:rPr>
          <w:sz w:val="24"/>
          <w:szCs w:val="24"/>
        </w:rPr>
      </w:pPr>
      <w:r>
        <w:rPr>
          <w:sz w:val="24"/>
          <w:szCs w:val="24"/>
        </w:rPr>
        <w:tab/>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Pr="00984C82"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4B945734" w14:textId="77777777" w:rsidR="00A25E09" w:rsidRPr="00A25E09" w:rsidRDefault="00A25E09" w:rsidP="00D57AF7">
      <w:pPr>
        <w:pStyle w:val="Level1"/>
        <w:numPr>
          <w:ilvl w:val="0"/>
          <w:numId w:val="2"/>
        </w:numPr>
        <w:tabs>
          <w:tab w:val="clear" w:pos="1080"/>
        </w:tabs>
        <w:ind w:left="0" w:firstLine="720"/>
        <w:jc w:val="both"/>
      </w:pPr>
      <w:r>
        <w:rPr>
          <w:b/>
          <w:bCs/>
        </w:rPr>
        <w:t xml:space="preserve">PROCEDURES. </w:t>
      </w:r>
    </w:p>
    <w:p w14:paraId="14E24C52" w14:textId="77777777" w:rsidR="00A25E09" w:rsidRDefault="00A25E09" w:rsidP="00A25E09">
      <w:pPr>
        <w:pStyle w:val="Level1"/>
        <w:ind w:left="1440"/>
        <w:jc w:val="both"/>
        <w:rPr>
          <w:bCs/>
        </w:rPr>
      </w:pPr>
    </w:p>
    <w:p w14:paraId="4896A4E1" w14:textId="386396CF" w:rsidR="00A25E09" w:rsidRPr="00A25E09" w:rsidRDefault="00A25E09" w:rsidP="00BC46BA">
      <w:pPr>
        <w:pStyle w:val="Level1"/>
        <w:ind w:firstLine="1440"/>
        <w:jc w:val="both"/>
        <w:rPr>
          <w:bCs/>
        </w:rPr>
      </w:pPr>
      <w:r>
        <w:rPr>
          <w:bCs/>
        </w:rPr>
        <w:t>Counsel for the parties shall familiarize the</w:t>
      </w:r>
      <w:r w:rsidR="00A27264">
        <w:rPr>
          <w:bCs/>
        </w:rPr>
        <w:t xml:space="preserve">mselves with all Division CV-E </w:t>
      </w:r>
      <w:r w:rsidR="0091400B">
        <w:rPr>
          <w:bCs/>
        </w:rPr>
        <w:t xml:space="preserve">Policies and </w:t>
      </w:r>
      <w:r w:rsidR="00A27264">
        <w:rPr>
          <w:bCs/>
        </w:rPr>
        <w:t>P</w:t>
      </w:r>
      <w:r>
        <w:rPr>
          <w:bCs/>
        </w:rPr>
        <w:t>rocedures</w:t>
      </w:r>
      <w:bookmarkStart w:id="0" w:name="_Ref74060946"/>
      <w:r w:rsidR="009E4565">
        <w:rPr>
          <w:rStyle w:val="FootnoteReference"/>
          <w:bCs/>
        </w:rPr>
        <w:footnoteReference w:id="3"/>
      </w:r>
      <w:bookmarkEnd w:id="0"/>
      <w:r w:rsidR="00782CD1">
        <w:rPr>
          <w:bCs/>
        </w:rPr>
        <w:t xml:space="preserve"> and be governed accordingly. </w:t>
      </w:r>
    </w:p>
    <w:p w14:paraId="56402354" w14:textId="77777777" w:rsidR="00A25E09" w:rsidRPr="00A25E09" w:rsidRDefault="00A25E09" w:rsidP="00A25E09">
      <w:pPr>
        <w:pStyle w:val="Level1"/>
        <w:jc w:val="both"/>
      </w:pPr>
    </w:p>
    <w:p w14:paraId="75983450" w14:textId="77777777" w:rsidR="009859C2" w:rsidRPr="009859C2" w:rsidRDefault="009859C2" w:rsidP="00D57AF7">
      <w:pPr>
        <w:pStyle w:val="Level1"/>
        <w:numPr>
          <w:ilvl w:val="0"/>
          <w:numId w:val="2"/>
        </w:numPr>
        <w:tabs>
          <w:tab w:val="clear" w:pos="1080"/>
        </w:tabs>
        <w:ind w:left="0" w:firstLine="720"/>
        <w:jc w:val="both"/>
      </w:pPr>
      <w:r>
        <w:rPr>
          <w:b/>
          <w:bCs/>
        </w:rPr>
        <w:t>STANDARDS OF CONDUCT.</w:t>
      </w:r>
    </w:p>
    <w:p w14:paraId="6B1BE95B" w14:textId="77777777" w:rsidR="009859C2" w:rsidRDefault="009859C2" w:rsidP="009859C2">
      <w:pPr>
        <w:pStyle w:val="Level1"/>
        <w:jc w:val="both"/>
        <w:rPr>
          <w:b/>
          <w:bCs/>
        </w:rPr>
      </w:pPr>
    </w:p>
    <w:p w14:paraId="28D4317C" w14:textId="12D6C046" w:rsidR="009859C2" w:rsidRDefault="002746BA" w:rsidP="00BC46BA">
      <w:pPr>
        <w:pStyle w:val="Level1"/>
        <w:ind w:firstLine="1440"/>
        <w:jc w:val="both"/>
        <w:rPr>
          <w:bCs/>
        </w:rPr>
      </w:pPr>
      <w:r>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sidR="009E4565">
        <w:rPr>
          <w:bCs/>
        </w:rPr>
        <w:fldChar w:fldCharType="begin"/>
      </w:r>
      <w:r w:rsidR="009E4565">
        <w:rPr>
          <w:bCs/>
        </w:rPr>
        <w:instrText xml:space="preserve"> NOTEREF _Ref74060946 \f \h </w:instrText>
      </w:r>
      <w:r w:rsidR="009E4565">
        <w:rPr>
          <w:bCs/>
        </w:rPr>
      </w:r>
      <w:r w:rsidR="009E4565">
        <w:rPr>
          <w:bCs/>
        </w:rPr>
        <w:fldChar w:fldCharType="separate"/>
      </w:r>
      <w:r w:rsidR="00EB4724" w:rsidRPr="00EB4724">
        <w:rPr>
          <w:rStyle w:val="FootnoteReference"/>
        </w:rPr>
        <w:t>3</w:t>
      </w:r>
      <w:r w:rsidR="009E4565">
        <w:rPr>
          <w:bCs/>
        </w:rPr>
        <w:fldChar w:fldCharType="end"/>
      </w:r>
      <w:r>
        <w:rPr>
          <w:bCs/>
        </w:rPr>
        <w:t xml:space="preserve"> and be governed accordingly. </w:t>
      </w:r>
    </w:p>
    <w:p w14:paraId="6F7B2B66" w14:textId="77777777" w:rsidR="00890A11" w:rsidRDefault="00890A11" w:rsidP="009859C2">
      <w:pPr>
        <w:pStyle w:val="Level1"/>
        <w:ind w:firstLine="1620"/>
        <w:jc w:val="both"/>
        <w:rPr>
          <w:bCs/>
        </w:rPr>
      </w:pPr>
    </w:p>
    <w:p w14:paraId="193C46A1" w14:textId="77777777" w:rsidR="00501923" w:rsidRPr="00984C82" w:rsidRDefault="00501923" w:rsidP="00D57AF7">
      <w:pPr>
        <w:pStyle w:val="Level1"/>
        <w:numPr>
          <w:ilvl w:val="0"/>
          <w:numId w:val="2"/>
        </w:numPr>
        <w:tabs>
          <w:tab w:val="clear" w:pos="1080"/>
        </w:tabs>
        <w:ind w:left="0" w:firstLine="720"/>
        <w:jc w:val="both"/>
      </w:pPr>
      <w:r w:rsidRPr="00984C82">
        <w:rPr>
          <w:b/>
          <w:bCs/>
        </w:rPr>
        <w:t xml:space="preserve">TRIAL 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6A349A44"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34336E">
        <w:rPr>
          <w:b/>
          <w:bCs/>
          <w:sz w:val="24"/>
          <w:szCs w:val="24"/>
        </w:rPr>
        <w:t>5</w:t>
      </w:r>
      <w:r w:rsidR="00B831D3" w:rsidRPr="00984C82">
        <w:rPr>
          <w:b/>
          <w:bCs/>
          <w:sz w:val="24"/>
          <w:szCs w:val="24"/>
        </w:rPr>
        <w:t xml:space="preserve">, </w:t>
      </w:r>
      <w:r w:rsidR="00050D55" w:rsidRPr="00984C82">
        <w:rPr>
          <w:sz w:val="24"/>
          <w:szCs w:val="24"/>
        </w:rPr>
        <w:t xml:space="preserve">at </w:t>
      </w:r>
      <w:r w:rsidR="003E5D4B">
        <w:rPr>
          <w:sz w:val="24"/>
          <w:szCs w:val="24"/>
        </w:rPr>
        <w:t>8</w:t>
      </w:r>
      <w:r w:rsidR="00050D55" w:rsidRPr="00984C82">
        <w:rPr>
          <w:sz w:val="24"/>
          <w:szCs w:val="24"/>
        </w:rPr>
        <w:t>:30 a.m</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7DC4691D"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34336E">
        <w:rPr>
          <w:b/>
          <w:sz w:val="24"/>
          <w:szCs w:val="24"/>
        </w:rPr>
        <w:t>5</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7877F8B4"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 discuss the possibility of settlement; stipulate to as many facts and issues as possible; </w:t>
      </w:r>
      <w:r w:rsidR="00A274F6">
        <w:rPr>
          <w:sz w:val="24"/>
          <w:szCs w:val="24"/>
        </w:rPr>
        <w:t xml:space="preserve">discuss and cooperate </w:t>
      </w:r>
      <w:r w:rsidR="00A274F6">
        <w:rPr>
          <w:sz w:val="24"/>
          <w:szCs w:val="24"/>
        </w:rPr>
        <w:lastRenderedPageBreak/>
        <w:t xml:space="preserve">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FB57F9">
        <w:rPr>
          <w:sz w:val="24"/>
          <w:szCs w:val="24"/>
        </w:rPr>
        <w:t xml:space="preserve">; complete the Division CV-E </w:t>
      </w:r>
      <w:r w:rsidR="00FB57F9" w:rsidRPr="00FB57F9">
        <w:rPr>
          <w:b/>
          <w:sz w:val="24"/>
          <w:szCs w:val="24"/>
        </w:rPr>
        <w:t>“Pretrial Conference Checklist”</w:t>
      </w:r>
      <w:bookmarkStart w:id="1" w:name="_Ref74061097"/>
      <w:r w:rsidR="009E4565" w:rsidRPr="009E4565">
        <w:rPr>
          <w:rStyle w:val="FootnoteReference"/>
          <w:bCs/>
          <w:sz w:val="24"/>
          <w:szCs w:val="24"/>
        </w:rPr>
        <w:footnoteReference w:customMarkFollows="1" w:id="4"/>
        <w:t>3</w:t>
      </w:r>
      <w:bookmarkEnd w:id="1"/>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9E4565" w:rsidRPr="009E4565">
        <w:rPr>
          <w:rStyle w:val="FootnoteReference"/>
          <w:bCs/>
          <w:sz w:val="24"/>
          <w:szCs w:val="24"/>
        </w:rPr>
        <w:footnoteReference w:customMarkFollows="1" w:id="5"/>
        <w:t>3</w:t>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D44386" w:rsidRPr="00D44386">
        <w:rPr>
          <w:sz w:val="24"/>
          <w:szCs w:val="24"/>
        </w:rPr>
        <w:fldChar w:fldCharType="begin"/>
      </w:r>
      <w:r w:rsidR="00D44386" w:rsidRPr="00D44386">
        <w:rPr>
          <w:sz w:val="24"/>
          <w:szCs w:val="24"/>
        </w:rPr>
        <w:instrText xml:space="preserve"> NOTEREF _Ref74060946 \f \h </w:instrText>
      </w:r>
      <w:r w:rsidR="00D44386">
        <w:rPr>
          <w:sz w:val="24"/>
          <w:szCs w:val="24"/>
        </w:rPr>
        <w:instrText xml:space="preserve"> \* MERGEFORMAT </w:instrText>
      </w:r>
      <w:r w:rsidR="00D44386" w:rsidRPr="00D44386">
        <w:rPr>
          <w:sz w:val="24"/>
          <w:szCs w:val="24"/>
        </w:rPr>
      </w:r>
      <w:r w:rsidR="00D44386" w:rsidRPr="00D44386">
        <w:rPr>
          <w:sz w:val="24"/>
          <w:szCs w:val="24"/>
        </w:rPr>
        <w:fldChar w:fldCharType="separate"/>
      </w:r>
      <w:r w:rsidR="00EB4724" w:rsidRPr="00EB4724">
        <w:rPr>
          <w:rStyle w:val="FootnoteReference"/>
          <w:sz w:val="24"/>
          <w:szCs w:val="24"/>
        </w:rPr>
        <w:t>3</w:t>
      </w:r>
      <w:r w:rsidR="00D44386" w:rsidRPr="00D44386">
        <w:rPr>
          <w:sz w:val="24"/>
          <w:szCs w:val="24"/>
        </w:rPr>
        <w:fldChar w:fldCharType="end"/>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26F61DDC"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 xml:space="preserve">rial Stipulation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 xml:space="preserve">as set forth in paragraph 21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1498B471" w14:textId="2A464D4F" w:rsidR="007F4296" w:rsidRDefault="007F4296" w:rsidP="007F4296">
      <w:pPr>
        <w:numPr>
          <w:ilvl w:val="12"/>
          <w:numId w:val="0"/>
        </w:numPr>
        <w:ind w:firstLine="1440"/>
        <w:jc w:val="both"/>
        <w:rPr>
          <w:sz w:val="24"/>
          <w:szCs w:val="24"/>
        </w:rPr>
      </w:pPr>
      <w:r w:rsidRPr="00984C82">
        <w:rPr>
          <w:sz w:val="24"/>
          <w:szCs w:val="24"/>
        </w:rPr>
        <w:lastRenderedPageBreak/>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77777777" w:rsidR="00497853" w:rsidRPr="00984C82" w:rsidRDefault="00501923" w:rsidP="00305A50">
      <w:pPr>
        <w:pStyle w:val="ListParagraph"/>
        <w:ind w:left="0"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2B6B6AE7"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34336E">
        <w:rPr>
          <w:b/>
          <w:bCs/>
          <w:sz w:val="24"/>
          <w:szCs w:val="24"/>
        </w:rPr>
        <w:t>4</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34336E">
        <w:rPr>
          <w:b/>
          <w:bCs/>
          <w:sz w:val="24"/>
          <w:szCs w:val="24"/>
        </w:rPr>
        <w:t>4</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77777777" w:rsidR="0004464A" w:rsidRDefault="0040340F" w:rsidP="00CB6A25">
      <w:pPr>
        <w:ind w:firstLine="1440"/>
        <w:jc w:val="both"/>
        <w:rPr>
          <w:sz w:val="24"/>
          <w:szCs w:val="24"/>
        </w:rPr>
      </w:pPr>
      <w:r>
        <w:rPr>
          <w:sz w:val="24"/>
          <w:szCs w:val="24"/>
        </w:rPr>
        <w:t xml:space="preserve">Pursuant to Florida Rule of Civil Procedure 1.280(b)(5),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10152073" w14:textId="108F87EA" w:rsidR="002823BC" w:rsidRDefault="002823BC" w:rsidP="00CB6A25">
      <w:pPr>
        <w:ind w:firstLine="1440"/>
        <w:jc w:val="both"/>
        <w:rPr>
          <w:sz w:val="24"/>
          <w:szCs w:val="24"/>
        </w:rPr>
      </w:pPr>
      <w:r w:rsidRPr="002823BC">
        <w:rPr>
          <w:b/>
          <w:sz w:val="24"/>
          <w:szCs w:val="24"/>
        </w:rPr>
        <w:lastRenderedPageBreak/>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lastRenderedPageBreak/>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77777777"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p>
    <w:p w14:paraId="7A7DE08E" w14:textId="77777777" w:rsidR="00EE0EEB" w:rsidRDefault="00EE0EEB" w:rsidP="00EE0EEB">
      <w:pPr>
        <w:tabs>
          <w:tab w:val="num" w:pos="-90"/>
        </w:tabs>
        <w:jc w:val="both"/>
        <w:rPr>
          <w:b/>
          <w:sz w:val="24"/>
          <w:szCs w:val="24"/>
        </w:rPr>
      </w:pPr>
    </w:p>
    <w:p w14:paraId="4A1C9043" w14:textId="3E9D0EFB"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fact discovery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rial conference unless otherwise extended by written agreement of counsel or by order of the Court.  All ex</w:t>
      </w:r>
      <w:r>
        <w:rPr>
          <w:sz w:val="24"/>
          <w:szCs w:val="24"/>
        </w:rPr>
        <w:t xml:space="preserve">pert discovery shall be completed </w:t>
      </w:r>
      <w:r w:rsidRPr="002163CF">
        <w:rPr>
          <w:b/>
          <w:sz w:val="24"/>
          <w:szCs w:val="24"/>
        </w:rPr>
        <w:t>no later than SIXTY (60)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or by order of the Court.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7777777" w:rsidR="006617AE" w:rsidRDefault="00D57CB7" w:rsidP="00D75B91">
      <w:pPr>
        <w:pStyle w:val="ListParagraph"/>
        <w:numPr>
          <w:ilvl w:val="0"/>
          <w:numId w:val="2"/>
        </w:numPr>
        <w:tabs>
          <w:tab w:val="clear" w:pos="1080"/>
          <w:tab w:val="num" w:pos="-90"/>
        </w:tabs>
        <w:ind w:left="1440" w:hanging="720"/>
        <w:jc w:val="both"/>
        <w:rPr>
          <w:b/>
          <w:sz w:val="24"/>
          <w:szCs w:val="24"/>
        </w:rPr>
      </w:pPr>
      <w:r w:rsidRPr="006617AE">
        <w:rPr>
          <w:b/>
          <w:i/>
          <w:sz w:val="24"/>
          <w:szCs w:val="24"/>
        </w:rPr>
        <w:t>DAUBERT</w:t>
      </w:r>
      <w:r w:rsidR="006617AE">
        <w:rPr>
          <w:b/>
          <w:sz w:val="24"/>
          <w:szCs w:val="24"/>
        </w:rPr>
        <w:t xml:space="preserve"> OR OTHER EXPERT WITNESS ISSUES. </w:t>
      </w:r>
    </w:p>
    <w:p w14:paraId="4E094095" w14:textId="77777777" w:rsidR="00BF720A" w:rsidRDefault="00BF720A" w:rsidP="00BF720A">
      <w:pPr>
        <w:tabs>
          <w:tab w:val="num" w:pos="-90"/>
        </w:tabs>
        <w:jc w:val="both"/>
        <w:rPr>
          <w:b/>
          <w:sz w:val="24"/>
          <w:szCs w:val="24"/>
        </w:rPr>
      </w:pPr>
    </w:p>
    <w:p w14:paraId="53FF6C52" w14:textId="544B4FEF" w:rsidR="00BF720A" w:rsidRDefault="000E7FBD" w:rsidP="00E87993">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 Type Hearings in Division CV-E”</w:t>
      </w:r>
      <w:r w:rsidR="000343C1">
        <w:rPr>
          <w:rStyle w:val="FootnoteReference"/>
          <w:sz w:val="24"/>
          <w:szCs w:val="24"/>
        </w:rPr>
        <w:footnoteReference w:customMarkFollows="1" w:id="6"/>
        <w:t>3</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and served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heard or agreed to by the parties no later than </w:t>
      </w:r>
      <w:r w:rsidR="00BF720A" w:rsidRPr="000E1C0F">
        <w:rPr>
          <w:b/>
          <w:sz w:val="24"/>
          <w:szCs w:val="24"/>
        </w:rPr>
        <w:lastRenderedPageBreak/>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3C9F6E4F" w14:textId="77777777" w:rsidR="0091400B" w:rsidRDefault="0091400B" w:rsidP="0091400B">
      <w:pPr>
        <w:tabs>
          <w:tab w:val="num" w:pos="-90"/>
        </w:tabs>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549FDDE0"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6F0BE3" w:rsidRPr="006F0BE3">
        <w:rPr>
          <w:rStyle w:val="FootnoteReference"/>
          <w:i/>
          <w:sz w:val="24"/>
          <w:szCs w:val="24"/>
        </w:rPr>
        <w:t xml:space="preserve"> </w:t>
      </w:r>
      <w:r w:rsidR="006F0BE3" w:rsidRPr="006F0BE3">
        <w:rPr>
          <w:rStyle w:val="FootnoteReference"/>
          <w:iCs/>
          <w:sz w:val="24"/>
          <w:szCs w:val="24"/>
        </w:rPr>
        <w:footnoteReference w:customMarkFollows="1" w:id="7"/>
        <w:t>3</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7F75AC4C" w:rsidR="00971CDB" w:rsidRDefault="007259FC"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DISPOSITIVE </w:t>
      </w:r>
      <w:r w:rsidR="008F6734">
        <w:rPr>
          <w:b/>
          <w:sz w:val="24"/>
          <w:szCs w:val="24"/>
        </w:rPr>
        <w:t>AND SUMMARY JUDGMENT MOTIONS</w:t>
      </w:r>
      <w:r>
        <w:rPr>
          <w:b/>
          <w:sz w:val="24"/>
          <w:szCs w:val="24"/>
        </w:rPr>
        <w:t>.</w:t>
      </w:r>
    </w:p>
    <w:p w14:paraId="172DD912" w14:textId="77777777" w:rsidR="00B05B5C" w:rsidRDefault="00B05B5C" w:rsidP="00B05B5C">
      <w:pPr>
        <w:tabs>
          <w:tab w:val="num" w:pos="-90"/>
        </w:tabs>
        <w:jc w:val="both"/>
        <w:rPr>
          <w:b/>
          <w:sz w:val="24"/>
          <w:szCs w:val="24"/>
        </w:rPr>
      </w:pPr>
    </w:p>
    <w:p w14:paraId="4E1B36D0" w14:textId="1567C2BC" w:rsidR="00DA2072" w:rsidRDefault="00B05B5C" w:rsidP="00B05B5C">
      <w:pPr>
        <w:tabs>
          <w:tab w:val="num" w:pos="-90"/>
        </w:tabs>
        <w:jc w:val="both"/>
        <w:rPr>
          <w:sz w:val="24"/>
          <w:szCs w:val="24"/>
        </w:rPr>
      </w:pPr>
      <w:r>
        <w:rPr>
          <w:sz w:val="24"/>
          <w:szCs w:val="24"/>
        </w:rPr>
        <w:tab/>
      </w:r>
      <w:r>
        <w:rPr>
          <w:sz w:val="24"/>
          <w:szCs w:val="24"/>
        </w:rPr>
        <w:tab/>
        <w:t>All pre-trial dispositive motions and summary judgment motions shall be filed</w:t>
      </w:r>
      <w:r w:rsidR="008F6734">
        <w:rPr>
          <w:sz w:val="24"/>
          <w:szCs w:val="24"/>
        </w:rPr>
        <w:t xml:space="preserve"> by the moving party and served on all opposing parties </w:t>
      </w:r>
      <w:r w:rsidR="008F6734" w:rsidRPr="008F6734">
        <w:rPr>
          <w:b/>
          <w:bCs/>
          <w:sz w:val="24"/>
          <w:szCs w:val="24"/>
        </w:rPr>
        <w:t>no later than SEVENTY</w:t>
      </w:r>
      <w:r w:rsidR="008F6734">
        <w:rPr>
          <w:b/>
          <w:bCs/>
          <w:sz w:val="24"/>
          <w:szCs w:val="24"/>
        </w:rPr>
        <w:t>-</w:t>
      </w:r>
      <w:r w:rsidR="008F6734" w:rsidRPr="008F6734">
        <w:rPr>
          <w:b/>
          <w:bCs/>
          <w:sz w:val="24"/>
          <w:szCs w:val="24"/>
        </w:rPr>
        <w:t>FIVE (75)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no later than TWENTY (20)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D44386" w:rsidRPr="00D44386">
        <w:rPr>
          <w:sz w:val="24"/>
          <w:szCs w:val="24"/>
        </w:rPr>
        <w:fldChar w:fldCharType="begin"/>
      </w:r>
      <w:r w:rsidR="00D44386" w:rsidRPr="00D44386">
        <w:rPr>
          <w:sz w:val="24"/>
          <w:szCs w:val="24"/>
        </w:rPr>
        <w:instrText xml:space="preserve"> NOTEREF _Ref74060946 \f \h </w:instrText>
      </w:r>
      <w:r w:rsidR="00D44386">
        <w:rPr>
          <w:sz w:val="24"/>
          <w:szCs w:val="24"/>
        </w:rPr>
        <w:instrText xml:space="preserve"> \* MERGEFORMAT </w:instrText>
      </w:r>
      <w:r w:rsidR="00D44386" w:rsidRPr="00D44386">
        <w:rPr>
          <w:sz w:val="24"/>
          <w:szCs w:val="24"/>
        </w:rPr>
      </w:r>
      <w:r w:rsidR="00D44386" w:rsidRPr="00D44386">
        <w:rPr>
          <w:sz w:val="24"/>
          <w:szCs w:val="24"/>
        </w:rPr>
        <w:fldChar w:fldCharType="separate"/>
      </w:r>
      <w:r w:rsidR="00EB4724" w:rsidRPr="00EB4724">
        <w:rPr>
          <w:rStyle w:val="FootnoteReference"/>
          <w:sz w:val="24"/>
          <w:szCs w:val="24"/>
        </w:rPr>
        <w:t>3</w:t>
      </w:r>
      <w:r w:rsidR="00D44386" w:rsidRPr="00D44386">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3714E7FD" w14:textId="77777777" w:rsidR="00DA2072" w:rsidRDefault="00DA2072" w:rsidP="00B05B5C">
      <w:pPr>
        <w:tabs>
          <w:tab w:val="num" w:pos="-90"/>
        </w:tabs>
        <w:jc w:val="both"/>
        <w:rPr>
          <w:sz w:val="24"/>
          <w:szCs w:val="24"/>
        </w:rPr>
      </w:pPr>
    </w:p>
    <w:p w14:paraId="266AE290" w14:textId="093A0B8A" w:rsidR="00B05B5C" w:rsidRDefault="00B05B5C" w:rsidP="00D75B91">
      <w:pPr>
        <w:pStyle w:val="ListParagraph"/>
        <w:numPr>
          <w:ilvl w:val="0"/>
          <w:numId w:val="2"/>
        </w:numPr>
        <w:tabs>
          <w:tab w:val="clear" w:pos="1080"/>
          <w:tab w:val="num" w:pos="-90"/>
        </w:tabs>
        <w:ind w:left="1440" w:hanging="720"/>
        <w:jc w:val="both"/>
        <w:rPr>
          <w:b/>
          <w:sz w:val="24"/>
          <w:szCs w:val="24"/>
        </w:rPr>
      </w:pPr>
      <w:r>
        <w:rPr>
          <w:b/>
          <w:sz w:val="24"/>
          <w:szCs w:val="24"/>
        </w:rPr>
        <w:lastRenderedPageBreak/>
        <w:t>MOTIONS TO AMEND PLEADINGS.</w:t>
      </w:r>
    </w:p>
    <w:p w14:paraId="12D9707F" w14:textId="77777777" w:rsidR="00D44386" w:rsidRDefault="00D44386" w:rsidP="00D44386">
      <w:pPr>
        <w:pStyle w:val="ListParagraph"/>
        <w:ind w:left="1440"/>
        <w:jc w:val="both"/>
        <w:rPr>
          <w:b/>
          <w:sz w:val="24"/>
          <w:szCs w:val="24"/>
        </w:rPr>
      </w:pPr>
    </w:p>
    <w:p w14:paraId="3FB75F7E" w14:textId="3A0ACC11" w:rsidR="00A810EE" w:rsidRDefault="00B05B5C" w:rsidP="00BF720A">
      <w:pPr>
        <w:tabs>
          <w:tab w:val="num" w:pos="-90"/>
        </w:tabs>
        <w:jc w:val="both"/>
        <w:rPr>
          <w:sz w:val="24"/>
          <w:szCs w:val="24"/>
        </w:rPr>
      </w:pPr>
      <w:r>
        <w:rPr>
          <w:sz w:val="24"/>
          <w:szCs w:val="24"/>
        </w:rPr>
        <w:tab/>
      </w:r>
      <w:r>
        <w:rPr>
          <w:sz w:val="24"/>
          <w:szCs w:val="24"/>
        </w:rPr>
        <w:tab/>
        <w:t xml:space="preserve">All motions to amend the pleadings shall be filed </w:t>
      </w:r>
      <w:r w:rsidR="008F6734" w:rsidRPr="008F6734">
        <w:rPr>
          <w:b/>
          <w:bCs/>
          <w:sz w:val="24"/>
          <w:szCs w:val="24"/>
        </w:rPr>
        <w:t>no later than ONE HUNDRED TWENTY (120) DAYS</w:t>
      </w:r>
      <w:r>
        <w:rPr>
          <w:b/>
          <w:sz w:val="24"/>
          <w:szCs w:val="24"/>
        </w:rPr>
        <w:t xml:space="preserve"> </w:t>
      </w:r>
      <w:r>
        <w:rPr>
          <w:sz w:val="24"/>
          <w:szCs w:val="24"/>
        </w:rPr>
        <w:t>prior to the Pre</w:t>
      </w:r>
      <w:r w:rsidR="00A106B6">
        <w:rPr>
          <w:sz w:val="24"/>
          <w:szCs w:val="24"/>
        </w:rPr>
        <w:t>t</w:t>
      </w:r>
      <w:r>
        <w:rPr>
          <w:sz w:val="24"/>
          <w:szCs w:val="24"/>
        </w:rPr>
        <w:t xml:space="preserve">rial Conference. </w:t>
      </w:r>
      <w:r w:rsidR="00BF720A">
        <w:rPr>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1E14515F"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TWENTY (120)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77777777" w:rsidR="00BA31D6" w:rsidRDefault="00B7189E" w:rsidP="00D75B91">
      <w:pPr>
        <w:pStyle w:val="ListParagraph"/>
        <w:numPr>
          <w:ilvl w:val="0"/>
          <w:numId w:val="2"/>
        </w:numPr>
        <w:tabs>
          <w:tab w:val="clear" w:pos="1080"/>
          <w:tab w:val="num" w:pos="-90"/>
        </w:tabs>
        <w:ind w:left="1440" w:hanging="720"/>
        <w:jc w:val="both"/>
        <w:rPr>
          <w:b/>
          <w:sz w:val="24"/>
          <w:szCs w:val="24"/>
        </w:rPr>
      </w:pPr>
      <w:r>
        <w:rPr>
          <w:b/>
          <w:sz w:val="24"/>
          <w:szCs w:val="24"/>
        </w:rPr>
        <w:t>MOTIONS IN LIMINE.</w:t>
      </w:r>
    </w:p>
    <w:p w14:paraId="178A982D" w14:textId="77777777" w:rsidR="00B7189E" w:rsidRDefault="00B7189E" w:rsidP="00B7189E">
      <w:pPr>
        <w:tabs>
          <w:tab w:val="num" w:pos="-90"/>
        </w:tabs>
        <w:jc w:val="both"/>
        <w:rPr>
          <w:b/>
          <w:sz w:val="24"/>
          <w:szCs w:val="24"/>
        </w:rPr>
      </w:pPr>
    </w:p>
    <w:p w14:paraId="3AFCB36A" w14:textId="43BB80F6"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Motions in </w:t>
      </w:r>
      <w:r w:rsidR="00B7189E" w:rsidRPr="00B7189E">
        <w:rPr>
          <w:i/>
          <w:sz w:val="24"/>
          <w:szCs w:val="24"/>
        </w:rPr>
        <w:t>Limine</w:t>
      </w:r>
      <w:r w:rsidR="00B7189E">
        <w:rPr>
          <w:sz w:val="24"/>
          <w:szCs w:val="24"/>
        </w:rPr>
        <w:t xml:space="preserve"> </w:t>
      </w:r>
      <w:r w:rsidR="009164FF">
        <w:rPr>
          <w:sz w:val="24"/>
          <w:szCs w:val="24"/>
        </w:rPr>
        <w:t xml:space="preserve">shall be filed, served, </w:t>
      </w:r>
      <w:r w:rsidR="00B943A3">
        <w:rPr>
          <w:sz w:val="24"/>
          <w:szCs w:val="24"/>
        </w:rPr>
        <w:t>noticed,</w:t>
      </w:r>
      <w:r w:rsidR="009164FF">
        <w:rPr>
          <w:sz w:val="24"/>
          <w:szCs w:val="24"/>
        </w:rPr>
        <w:t xml:space="preserve"> and heard or 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0343C1">
        <w:rPr>
          <w:rStyle w:val="FootnoteReference"/>
          <w:sz w:val="24"/>
          <w:szCs w:val="24"/>
        </w:rPr>
        <w:footnoteReference w:customMarkFollows="1" w:id="8"/>
        <w:t>3</w:t>
      </w:r>
      <w:r w:rsidR="008142EC">
        <w:rPr>
          <w:sz w:val="24"/>
          <w:szCs w:val="24"/>
        </w:rPr>
        <w:t xml:space="preserve"> related to “Motions in Limine (MIL)”</w:t>
      </w:r>
      <w:r>
        <w:rPr>
          <w:sz w:val="24"/>
          <w:szCs w:val="24"/>
        </w:rPr>
        <w:t xml:space="preserve"> (Se</w:t>
      </w:r>
      <w:r w:rsidR="008142EC">
        <w:rPr>
          <w:sz w:val="24"/>
          <w:szCs w:val="24"/>
        </w:rPr>
        <w:t xml:space="preserve">ction </w:t>
      </w:r>
      <w:r w:rsidR="00DA2072">
        <w:rPr>
          <w:sz w:val="24"/>
          <w:szCs w:val="24"/>
        </w:rPr>
        <w:t>X</w:t>
      </w:r>
      <w:r w:rsidR="008142EC">
        <w:rPr>
          <w:sz w:val="24"/>
          <w:szCs w:val="24"/>
        </w:rPr>
        <w:t>VII</w:t>
      </w:r>
      <w:r w:rsidR="00D44386">
        <w:rPr>
          <w:sz w:val="24"/>
          <w:szCs w:val="24"/>
        </w:rPr>
        <w:t>I</w:t>
      </w:r>
      <w:r w:rsidR="008142EC">
        <w:rPr>
          <w:sz w:val="24"/>
          <w:szCs w:val="24"/>
        </w:rPr>
        <w:t>) and the “</w:t>
      </w:r>
      <w:r>
        <w:rPr>
          <w:sz w:val="24"/>
          <w:szCs w:val="24"/>
        </w:rPr>
        <w:t xml:space="preserve">Meet and Confer Requirement” (Section III </w:t>
      </w:r>
      <w:r w:rsidR="00DA2072">
        <w:rPr>
          <w:sz w:val="24"/>
          <w:szCs w:val="24"/>
        </w:rPr>
        <w:t>L</w:t>
      </w:r>
      <w:r w:rsidR="0032247C">
        <w:rPr>
          <w:sz w:val="24"/>
          <w:szCs w:val="24"/>
        </w:rPr>
        <w:t>.</w:t>
      </w:r>
      <w:r>
        <w:rPr>
          <w:sz w:val="24"/>
          <w:szCs w:val="24"/>
        </w:rPr>
        <w:t xml:space="preserve">).  </w:t>
      </w:r>
    </w:p>
    <w:p w14:paraId="0B7BC4C6" w14:textId="3FD28AB1" w:rsidR="00A810EE" w:rsidRDefault="00A810EE" w:rsidP="00D75B91">
      <w:pPr>
        <w:tabs>
          <w:tab w:val="num" w:pos="-90"/>
        </w:tabs>
        <w:jc w:val="both"/>
        <w:rPr>
          <w:b/>
          <w:sz w:val="24"/>
          <w:szCs w:val="24"/>
        </w:rPr>
      </w:pPr>
    </w:p>
    <w:p w14:paraId="26389C8C" w14:textId="77777777"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422848CC"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0343C1">
        <w:rPr>
          <w:rStyle w:val="FootnoteReference"/>
          <w:sz w:val="24"/>
          <w:szCs w:val="24"/>
        </w:rPr>
        <w:footnoteReference w:customMarkFollows="1" w:id="9"/>
        <w:t>3</w:t>
      </w:r>
      <w:r w:rsidR="00BA3379">
        <w:rPr>
          <w:sz w:val="24"/>
          <w:szCs w:val="24"/>
        </w:rPr>
        <w:t xml:space="preserve"> and be governed accordingly.  For each such Rule 1.360 examiner, the Defendant shall comply with all retained expert witness disclosure requirements set forth in paragraph 9 above. </w:t>
      </w:r>
    </w:p>
    <w:p w14:paraId="1E7D98F9" w14:textId="53623A49" w:rsidR="00D44386" w:rsidRDefault="00D44386" w:rsidP="00760B36">
      <w:pPr>
        <w:tabs>
          <w:tab w:val="num" w:pos="-90"/>
        </w:tabs>
        <w:jc w:val="both"/>
        <w:rPr>
          <w:sz w:val="24"/>
          <w:szCs w:val="24"/>
        </w:rPr>
      </w:pPr>
    </w:p>
    <w:p w14:paraId="7A62D457" w14:textId="3C78F4EF" w:rsidR="00D44386" w:rsidRDefault="00D44386" w:rsidP="00760B36">
      <w:pPr>
        <w:tabs>
          <w:tab w:val="num" w:pos="-90"/>
        </w:tabs>
        <w:jc w:val="both"/>
        <w:rPr>
          <w:sz w:val="24"/>
          <w:szCs w:val="24"/>
        </w:rPr>
      </w:pPr>
    </w:p>
    <w:p w14:paraId="07593AE3" w14:textId="0534C393" w:rsidR="00D44386" w:rsidRDefault="00D44386" w:rsidP="00760B36">
      <w:pPr>
        <w:tabs>
          <w:tab w:val="num" w:pos="-90"/>
        </w:tabs>
        <w:jc w:val="both"/>
        <w:rPr>
          <w:sz w:val="24"/>
          <w:szCs w:val="24"/>
        </w:rPr>
      </w:pP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lastRenderedPageBreak/>
        <w:t xml:space="preserve">DEPOSITION DESIGNATIONS. </w:t>
      </w:r>
    </w:p>
    <w:p w14:paraId="6568AEDF" w14:textId="77777777" w:rsidR="00CE5572" w:rsidRDefault="00CE5572" w:rsidP="00CE5572">
      <w:pPr>
        <w:tabs>
          <w:tab w:val="num" w:pos="-90"/>
        </w:tabs>
        <w:jc w:val="both"/>
        <w:rPr>
          <w:b/>
          <w:sz w:val="24"/>
          <w:szCs w:val="24"/>
        </w:rPr>
      </w:pPr>
    </w:p>
    <w:p w14:paraId="7C09803E" w14:textId="4D100084"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 Requirement”</w:t>
      </w:r>
      <w:r w:rsidR="00D44386">
        <w:rPr>
          <w:sz w:val="24"/>
          <w:szCs w:val="24"/>
        </w:rPr>
        <w:t xml:space="preserve"> (Section III. L.)</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746D45">
        <w:rPr>
          <w:rStyle w:val="FootnoteReference"/>
          <w:sz w:val="24"/>
          <w:szCs w:val="24"/>
        </w:rPr>
        <w:footnoteReference w:customMarkFollows="1" w:id="10"/>
        <w:t>3</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77777777"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p>
    <w:p w14:paraId="5DA6B533" w14:textId="77777777" w:rsidR="00FD6B73" w:rsidRDefault="00FD6B73" w:rsidP="008A2399">
      <w:pPr>
        <w:tabs>
          <w:tab w:val="num" w:pos="-90"/>
        </w:tabs>
        <w:jc w:val="both"/>
        <w:rPr>
          <w:sz w:val="24"/>
          <w:szCs w:val="24"/>
        </w:rPr>
      </w:pPr>
    </w:p>
    <w:p w14:paraId="5BBD1947" w14:textId="5623DAF9" w:rsidR="009D3C84"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    </w:t>
      </w:r>
    </w:p>
    <w:p w14:paraId="007F9D47" w14:textId="02144C64" w:rsidR="008354FF" w:rsidRDefault="008354FF" w:rsidP="008A2399">
      <w:pPr>
        <w:tabs>
          <w:tab w:val="num" w:pos="-90"/>
        </w:tabs>
        <w:jc w:val="both"/>
        <w:rPr>
          <w:sz w:val="24"/>
          <w:szCs w:val="24"/>
        </w:rPr>
      </w:pP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lastRenderedPageBreak/>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1E1C9697"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D44386" w:rsidRPr="00D44386">
        <w:rPr>
          <w:b/>
          <w:bCs/>
          <w:sz w:val="24"/>
          <w:szCs w:val="24"/>
        </w:rPr>
        <w:fldChar w:fldCharType="begin"/>
      </w:r>
      <w:r w:rsidR="00D44386" w:rsidRPr="00D44386">
        <w:rPr>
          <w:b/>
          <w:bCs/>
          <w:sz w:val="24"/>
          <w:szCs w:val="24"/>
        </w:rPr>
        <w:instrText xml:space="preserve"> NOTEREF _Ref74060946 \f \h </w:instrText>
      </w:r>
      <w:r w:rsidR="00D44386">
        <w:rPr>
          <w:b/>
          <w:bCs/>
          <w:sz w:val="24"/>
          <w:szCs w:val="24"/>
        </w:rPr>
        <w:instrText xml:space="preserve"> \* MERGEFORMAT </w:instrText>
      </w:r>
      <w:r w:rsidR="00D44386" w:rsidRPr="00D44386">
        <w:rPr>
          <w:b/>
          <w:bCs/>
          <w:sz w:val="24"/>
          <w:szCs w:val="24"/>
        </w:rPr>
      </w:r>
      <w:r w:rsidR="00D44386" w:rsidRPr="00D44386">
        <w:rPr>
          <w:b/>
          <w:bCs/>
          <w:sz w:val="24"/>
          <w:szCs w:val="24"/>
        </w:rPr>
        <w:fldChar w:fldCharType="separate"/>
      </w:r>
      <w:r w:rsidR="00EB4724" w:rsidRPr="00EB4724">
        <w:rPr>
          <w:rStyle w:val="FootnoteReference"/>
          <w:sz w:val="24"/>
          <w:szCs w:val="24"/>
        </w:rPr>
        <w:t>3</w:t>
      </w:r>
      <w:r w:rsidR="00D44386" w:rsidRPr="00D44386">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D44386" w:rsidRPr="00D44386">
        <w:rPr>
          <w:b/>
          <w:bCs/>
          <w:sz w:val="24"/>
          <w:szCs w:val="24"/>
        </w:rPr>
        <w:fldChar w:fldCharType="begin"/>
      </w:r>
      <w:r w:rsidR="00D44386" w:rsidRPr="00D44386">
        <w:rPr>
          <w:b/>
          <w:bCs/>
          <w:sz w:val="24"/>
          <w:szCs w:val="24"/>
        </w:rPr>
        <w:instrText xml:space="preserve"> NOTEREF _Ref74060946 \f \h </w:instrText>
      </w:r>
      <w:r w:rsidR="00D44386">
        <w:rPr>
          <w:b/>
          <w:bCs/>
          <w:sz w:val="24"/>
          <w:szCs w:val="24"/>
        </w:rPr>
        <w:instrText xml:space="preserve"> \* MERGEFORMAT </w:instrText>
      </w:r>
      <w:r w:rsidR="00D44386" w:rsidRPr="00D44386">
        <w:rPr>
          <w:b/>
          <w:bCs/>
          <w:sz w:val="24"/>
          <w:szCs w:val="24"/>
        </w:rPr>
      </w:r>
      <w:r w:rsidR="00D44386" w:rsidRPr="00D44386">
        <w:rPr>
          <w:b/>
          <w:bCs/>
          <w:sz w:val="24"/>
          <w:szCs w:val="24"/>
        </w:rPr>
        <w:fldChar w:fldCharType="separate"/>
      </w:r>
      <w:r w:rsidR="00EB4724" w:rsidRPr="00EB4724">
        <w:rPr>
          <w:rStyle w:val="FootnoteReference"/>
          <w:sz w:val="24"/>
          <w:szCs w:val="24"/>
        </w:rPr>
        <w:t>3</w:t>
      </w:r>
      <w:r w:rsidR="00D44386" w:rsidRPr="00D44386">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Pr="00067B0A" w:rsidRDefault="00A106B6" w:rsidP="00067B0A">
      <w:pPr>
        <w:tabs>
          <w:tab w:val="num" w:pos="-90"/>
        </w:tabs>
        <w:jc w:val="both"/>
        <w:rPr>
          <w:b/>
          <w:sz w:val="24"/>
          <w:szCs w:val="24"/>
        </w:rPr>
      </w:pPr>
    </w:p>
    <w:p w14:paraId="601012F7" w14:textId="77777777" w:rsidR="00067B0A"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MEDIATION.</w:t>
      </w:r>
    </w:p>
    <w:p w14:paraId="63B47F05" w14:textId="77777777" w:rsidR="00067B0A" w:rsidRDefault="00067B0A" w:rsidP="00067B0A">
      <w:pPr>
        <w:tabs>
          <w:tab w:val="num" w:pos="-90"/>
        </w:tabs>
        <w:jc w:val="both"/>
        <w:rPr>
          <w:b/>
          <w:sz w:val="24"/>
          <w:szCs w:val="24"/>
        </w:rPr>
      </w:pPr>
    </w:p>
    <w:p w14:paraId="1E79D53C" w14:textId="3565D92F" w:rsidR="00067B0A" w:rsidRPr="00984C82" w:rsidRDefault="00067B0A" w:rsidP="00067B0A">
      <w:pPr>
        <w:numPr>
          <w:ilvl w:val="12"/>
          <w:numId w:val="0"/>
        </w:numPr>
        <w:ind w:firstLine="1440"/>
        <w:jc w:val="both"/>
        <w:rPr>
          <w:sz w:val="24"/>
          <w:szCs w:val="24"/>
        </w:rPr>
      </w:pPr>
      <w:r w:rsidRPr="00984C82">
        <w:rPr>
          <w:sz w:val="24"/>
          <w:szCs w:val="24"/>
        </w:rPr>
        <w:t>This case is referred to mediation.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DA2072" w:rsidRPr="00DA2072">
        <w:rPr>
          <w:b/>
          <w:bCs/>
          <w:sz w:val="24"/>
          <w:szCs w:val="24"/>
        </w:rPr>
        <w:t>ONE HUNDRED TWENTY (120)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 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 complete the 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8176CBA" w:rsidR="00067B0A" w:rsidRDefault="00067B0A" w:rsidP="008D1F3D">
      <w:pPr>
        <w:numPr>
          <w:ilvl w:val="12"/>
          <w:numId w:val="0"/>
        </w:numPr>
        <w:ind w:firstLine="720"/>
        <w:jc w:val="both"/>
        <w:rPr>
          <w:sz w:val="24"/>
          <w:szCs w:val="24"/>
        </w:rPr>
      </w:pPr>
      <w:r w:rsidRPr="00984C82">
        <w:rPr>
          <w:b/>
          <w:bCs/>
          <w:sz w:val="24"/>
          <w:szCs w:val="24"/>
          <w:u w:val="single"/>
        </w:rPr>
        <w:t>MEDIATION SHALL BE HELD PRIOR TO THE PRE</w:t>
      </w:r>
      <w:r w:rsidR="00A106B6">
        <w:rPr>
          <w:b/>
          <w:bCs/>
          <w:sz w:val="24"/>
          <w:szCs w:val="24"/>
          <w:u w:val="single"/>
        </w:rPr>
        <w:t>T</w:t>
      </w:r>
      <w:r w:rsidRPr="00984C82">
        <w:rPr>
          <w:b/>
          <w:bCs/>
          <w:sz w:val="24"/>
          <w:szCs w:val="24"/>
          <w:u w:val="single"/>
        </w:rPr>
        <w:t>RIAL CONFERENCE</w:t>
      </w:r>
      <w:r w:rsidRPr="00984C82">
        <w:rPr>
          <w:b/>
          <w:bCs/>
          <w:sz w:val="24"/>
          <w:szCs w:val="24"/>
        </w:rPr>
        <w:t xml:space="preserve">.  </w:t>
      </w:r>
      <w:r w:rsidRPr="00984C82">
        <w:rPr>
          <w:b/>
          <w:bCs/>
          <w:sz w:val="24"/>
          <w:szCs w:val="24"/>
          <w:u w:val="single"/>
        </w:rPr>
        <w:t>IT IS MANDATORY THAT MEDIATION BE ATTENDED BY THE PARTIES, THEIR COUNSEL WHO WILL TRY THE CASE, AND, WHEN APPLICABLE, AN INSURANCE COMPANY REPRESENTATIVE WITH FULL AND ABSOLUTE AUTHORITY TO SETTLE THE CASE WITHOUT FURTHER CONSULTATION.</w:t>
      </w:r>
      <w:r w:rsidRPr="00984C82">
        <w:rPr>
          <w:sz w:val="24"/>
          <w:szCs w:val="24"/>
        </w:rPr>
        <w:t xml:space="preserve">  </w:t>
      </w:r>
      <w:r w:rsidR="00C017BF">
        <w:rPr>
          <w:sz w:val="24"/>
          <w:szCs w:val="24"/>
        </w:rPr>
        <w:t xml:space="preserve">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 </w:t>
      </w:r>
      <w:r w:rsidR="00C017BF">
        <w:rPr>
          <w:sz w:val="24"/>
          <w:szCs w:val="24"/>
        </w:rPr>
        <w:lastRenderedPageBreak/>
        <w:t xml:space="preserve">mediation conference.  </w:t>
      </w:r>
      <w:r w:rsidRPr="00984C82">
        <w:rPr>
          <w:sz w:val="24"/>
          <w:szCs w:val="24"/>
        </w:rPr>
        <w:t xml:space="preserve">A party, trial attorney, or insurance company representative may be excused from attending the 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6048E505"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333AFA" w:rsidRPr="004159ED">
        <w:rPr>
          <w:rStyle w:val="FootnoteReference"/>
          <w:sz w:val="24"/>
          <w:szCs w:val="24"/>
        </w:rPr>
        <w:footnoteReference w:customMarkFollows="1" w:id="11"/>
        <w:sym w:font="Symbol" w:char="F033"/>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can be found in Word format on the Court’s website.</w:t>
      </w:r>
      <w:r w:rsidR="00D44386" w:rsidRPr="00D44386">
        <w:rPr>
          <w:sz w:val="24"/>
          <w:szCs w:val="24"/>
        </w:rPr>
        <w:fldChar w:fldCharType="begin"/>
      </w:r>
      <w:r w:rsidR="00D44386" w:rsidRPr="00D44386">
        <w:rPr>
          <w:sz w:val="24"/>
          <w:szCs w:val="24"/>
        </w:rPr>
        <w:instrText xml:space="preserve"> NOTEREF _Ref74060946 \f \h </w:instrText>
      </w:r>
      <w:r w:rsidR="00D44386">
        <w:rPr>
          <w:sz w:val="24"/>
          <w:szCs w:val="24"/>
        </w:rPr>
        <w:instrText xml:space="preserve"> \* MERGEFORMAT </w:instrText>
      </w:r>
      <w:r w:rsidR="00D44386" w:rsidRPr="00D44386">
        <w:rPr>
          <w:sz w:val="24"/>
          <w:szCs w:val="24"/>
        </w:rPr>
      </w:r>
      <w:r w:rsidR="00D44386" w:rsidRPr="00D44386">
        <w:rPr>
          <w:sz w:val="24"/>
          <w:szCs w:val="24"/>
        </w:rPr>
        <w:fldChar w:fldCharType="separate"/>
      </w:r>
      <w:r w:rsidR="00EB4724" w:rsidRPr="00EB4724">
        <w:rPr>
          <w:rStyle w:val="FootnoteReference"/>
          <w:sz w:val="24"/>
          <w:szCs w:val="24"/>
        </w:rPr>
        <w:t>3</w:t>
      </w:r>
      <w:r w:rsidR="00D44386" w:rsidRPr="00D44386">
        <w:rPr>
          <w:sz w:val="24"/>
          <w:szCs w:val="24"/>
        </w:rPr>
        <w:fldChar w:fldCharType="end"/>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 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3F11F3DD"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 xml:space="preserve">13, 15, 20, and 21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 mediation prior to trial.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 xml:space="preserve">-7, 9-13, 15, 20, and 21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7B87B9D5" w:rsidR="00FD6B73" w:rsidRPr="00FD6B73" w:rsidRDefault="00FD6B73" w:rsidP="00FD6B73">
      <w:pPr>
        <w:pStyle w:val="BodyTextIndent2"/>
        <w:ind w:firstLine="1440"/>
        <w:rPr>
          <w:sz w:val="24"/>
          <w:szCs w:val="24"/>
        </w:rPr>
      </w:pPr>
      <w:r>
        <w:rPr>
          <w:sz w:val="24"/>
          <w:szCs w:val="24"/>
        </w:rPr>
        <w:t xml:space="preserve">All pending dispositive, 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47998717" w14:textId="77777777" w:rsidR="00FD6B73" w:rsidRDefault="00FD6B73"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5020C665"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 must be in writing and set forth the following:</w:t>
      </w:r>
    </w:p>
    <w:p w14:paraId="75DFAED6" w14:textId="58B56A3B" w:rsidR="003F4183" w:rsidRDefault="003F4183" w:rsidP="0032247C">
      <w:pPr>
        <w:pStyle w:val="BodyTextIndent2"/>
        <w:numPr>
          <w:ilvl w:val="0"/>
          <w:numId w:val="5"/>
        </w:numPr>
        <w:ind w:left="1080" w:right="810" w:firstLine="360"/>
        <w:rPr>
          <w:sz w:val="24"/>
          <w:szCs w:val="24"/>
        </w:rPr>
      </w:pPr>
      <w:r>
        <w:rPr>
          <w:sz w:val="24"/>
          <w:szCs w:val="24"/>
        </w:rPr>
        <w:lastRenderedPageBreak/>
        <w:t>The signature of the party and the attorney representing the party requesting the continuance.</w:t>
      </w:r>
    </w:p>
    <w:p w14:paraId="42B93E96" w14:textId="70D44B4A" w:rsidR="003F4183" w:rsidRDefault="003F4183" w:rsidP="0032247C">
      <w:pPr>
        <w:pStyle w:val="BodyTextIndent2"/>
        <w:numPr>
          <w:ilvl w:val="0"/>
          <w:numId w:val="5"/>
        </w:numPr>
        <w:ind w:left="1080" w:right="810" w:firstLine="360"/>
        <w:rPr>
          <w:sz w:val="24"/>
          <w:szCs w:val="24"/>
        </w:rPr>
      </w:pPr>
      <w:r>
        <w:rPr>
          <w:sz w:val="24"/>
          <w:szCs w:val="24"/>
        </w:rPr>
        <w:t xml:space="preserve">A concise statement of the facts and reasons for the continuance.  If a continuance is sought on the ground of nonavailability of a witness, the motion must show when it is believed the witness will be available. </w:t>
      </w:r>
    </w:p>
    <w:p w14:paraId="1B593F9C" w14:textId="180B5F96" w:rsidR="003F4183" w:rsidRDefault="003F4183" w:rsidP="0032247C">
      <w:pPr>
        <w:pStyle w:val="BodyTextIndent2"/>
        <w:numPr>
          <w:ilvl w:val="0"/>
          <w:numId w:val="5"/>
        </w:numPr>
        <w:ind w:left="1080" w:right="810" w:firstLine="360"/>
        <w:rPr>
          <w:sz w:val="24"/>
          <w:szCs w:val="24"/>
        </w:rPr>
      </w:pPr>
      <w:r>
        <w:rPr>
          <w:sz w:val="24"/>
          <w:szCs w:val="24"/>
        </w:rPr>
        <w:t>Length of time requested for the continuance and when the case will be subsequently prepared for trial with all witnesses available to testify</w:t>
      </w:r>
      <w:r w:rsidR="0032247C">
        <w:rPr>
          <w:sz w:val="24"/>
          <w:szCs w:val="24"/>
        </w:rPr>
        <w:t xml:space="preserve"> based upon the Court’s list of available trial dates that can be found on the Court’s website</w:t>
      </w:r>
      <w:r>
        <w:rPr>
          <w:sz w:val="24"/>
          <w:szCs w:val="24"/>
        </w:rPr>
        <w:t xml:space="preserve">. </w:t>
      </w:r>
    </w:p>
    <w:p w14:paraId="2307A7C8" w14:textId="77777777" w:rsidR="003F4183" w:rsidRPr="003F4183" w:rsidRDefault="003F4183" w:rsidP="003F4183">
      <w:pPr>
        <w:pStyle w:val="BodyTextIndent2"/>
        <w:ind w:left="144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62B4B888" w:rsidR="0077142D" w:rsidRDefault="00ED6658" w:rsidP="008A2399">
      <w:pPr>
        <w:pStyle w:val="ListParagraph"/>
        <w:numPr>
          <w:ilvl w:val="0"/>
          <w:numId w:val="2"/>
        </w:numPr>
        <w:tabs>
          <w:tab w:val="clear" w:pos="1080"/>
          <w:tab w:val="num" w:pos="-90"/>
        </w:tabs>
        <w:ind w:left="720" w:firstLine="0"/>
        <w:jc w:val="both"/>
        <w:rPr>
          <w:b/>
          <w:sz w:val="24"/>
          <w:szCs w:val="24"/>
        </w:rPr>
      </w:pPr>
      <w:r>
        <w:rPr>
          <w:b/>
          <w:sz w:val="24"/>
          <w:szCs w:val="24"/>
        </w:rPr>
        <w:t>ADMONITIONS</w:t>
      </w:r>
      <w:r w:rsidR="00E91CD5">
        <w:rPr>
          <w:b/>
          <w:sz w:val="24"/>
          <w:szCs w:val="24"/>
        </w:rPr>
        <w:t xml:space="preserve"> AND SANCTIONS</w:t>
      </w:r>
      <w:r>
        <w:rPr>
          <w:b/>
          <w:sz w:val="24"/>
          <w:szCs w:val="24"/>
        </w:rPr>
        <w:t>.</w:t>
      </w:r>
    </w:p>
    <w:p w14:paraId="402F2DE8" w14:textId="77777777" w:rsidR="00ED6658" w:rsidRDefault="00ED6658" w:rsidP="00ED6658">
      <w:pPr>
        <w:tabs>
          <w:tab w:val="num" w:pos="-90"/>
        </w:tabs>
        <w:jc w:val="both"/>
        <w:rPr>
          <w:b/>
          <w:sz w:val="24"/>
          <w:szCs w:val="24"/>
        </w:rPr>
      </w:pPr>
    </w:p>
    <w:p w14:paraId="6D00FF6F" w14:textId="4A927A09" w:rsidR="00ED6658" w:rsidRPr="00ED6658" w:rsidRDefault="00ED6658" w:rsidP="00ED6658">
      <w:pPr>
        <w:tabs>
          <w:tab w:val="num" w:pos="-90"/>
        </w:tabs>
        <w:jc w:val="both"/>
        <w:rPr>
          <w:b/>
          <w:sz w:val="24"/>
          <w:szCs w:val="24"/>
        </w:rPr>
      </w:pPr>
      <w:r>
        <w:rPr>
          <w:sz w:val="24"/>
          <w:szCs w:val="24"/>
        </w:rPr>
        <w:tab/>
      </w:r>
      <w:r>
        <w:rPr>
          <w:sz w:val="24"/>
          <w:szCs w:val="24"/>
        </w:rPr>
        <w:tab/>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 1.200(c) 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7ED039FE"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34336E">
        <w:rPr>
          <w:sz w:val="24"/>
          <w:szCs w:val="24"/>
        </w:rPr>
        <w:t>4</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17CF0CEC" w14:textId="77777777" w:rsidR="00ED5BB6" w:rsidRPr="00984C82" w:rsidRDefault="00ED5BB6"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12D7CA87" w14:textId="164CB0C0" w:rsidR="00317577" w:rsidRDefault="00317577">
      <w:pPr>
        <w:pStyle w:val="FootnoteText"/>
      </w:pPr>
      <w:r>
        <w:rPr>
          <w:rStyle w:val="FootnoteReference"/>
        </w:rPr>
        <w:footnoteRef/>
      </w:r>
      <w:r>
        <w:t xml:space="preserve"> Fla. R. Civ. P. 1.070(j) allows up to four months (120 days) for service of process.</w:t>
      </w:r>
    </w:p>
  </w:footnote>
  <w:footnote w:id="2">
    <w:p w14:paraId="628A0A2F" w14:textId="5ECD95FE" w:rsidR="00317577" w:rsidRDefault="00317577" w:rsidP="00317577">
      <w:pPr>
        <w:pStyle w:val="FootnoteText"/>
        <w:jc w:val="both"/>
      </w:pPr>
      <w:r>
        <w:rPr>
          <w:rStyle w:val="FootnoteReference"/>
        </w:rPr>
        <w:footnoteRef/>
      </w:r>
      <w:r>
        <w:t xml:space="preserve"> Post-trial motions, such as motions for new trial or motions for judgment in accordance with a previous motion for directed verdict must be brought within 15 days of the return of the verdict. (Fla. R. Civ. P. 1.530) and within 15 days of discharge of the jury (Fla. R. Civ. P. 1.480). </w:t>
      </w:r>
    </w:p>
  </w:footnote>
  <w:footnote w:id="3">
    <w:p w14:paraId="6C0DCB71" w14:textId="440ACFB8" w:rsidR="009E4565" w:rsidRDefault="009E4565">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4">
    <w:p w14:paraId="1878F367" w14:textId="3ECFADA8" w:rsidR="009E4565" w:rsidRDefault="009E4565">
      <w:pPr>
        <w:pStyle w:val="FootnoteText"/>
      </w:pPr>
      <w:r>
        <w:rPr>
          <w:rStyle w:val="FootnoteReference"/>
        </w:rPr>
        <w:t>3</w:t>
      </w:r>
      <w:r>
        <w:t xml:space="preserve"> See website:  </w:t>
      </w:r>
      <w:hyperlink r:id="rId2" w:history="1">
        <w:r>
          <w:rPr>
            <w:rStyle w:val="Hyperlink"/>
          </w:rPr>
          <w:t>https://www.jud4.org/Ex-Parte-Procedures-and-Dates</w:t>
        </w:r>
      </w:hyperlink>
    </w:p>
  </w:footnote>
  <w:footnote w:id="5">
    <w:p w14:paraId="6DDD23DB" w14:textId="3294F22F" w:rsidR="009E4565" w:rsidRDefault="009E4565">
      <w:pPr>
        <w:pStyle w:val="FootnoteText"/>
      </w:pPr>
    </w:p>
  </w:footnote>
  <w:footnote w:id="6">
    <w:p w14:paraId="28D47258" w14:textId="684678EF" w:rsidR="000343C1" w:rsidRDefault="00D44386">
      <w:pPr>
        <w:pStyle w:val="FootnoteText"/>
      </w:pPr>
      <w:r>
        <w:rPr>
          <w:rStyle w:val="FootnoteReference"/>
        </w:rPr>
        <w:t>3</w:t>
      </w:r>
      <w:r>
        <w:t xml:space="preserve"> See website:  </w:t>
      </w:r>
      <w:hyperlink r:id="rId3" w:history="1">
        <w:r>
          <w:rPr>
            <w:rStyle w:val="Hyperlink"/>
          </w:rPr>
          <w:t>https://www.jud4.org/Ex-Parte-Procedures-and-Dates</w:t>
        </w:r>
      </w:hyperlink>
    </w:p>
  </w:footnote>
  <w:footnote w:id="7">
    <w:p w14:paraId="0E9FA02E" w14:textId="77777777" w:rsidR="006F0BE3" w:rsidRDefault="006F0BE3" w:rsidP="006F0BE3">
      <w:pPr>
        <w:pStyle w:val="FootnoteText"/>
      </w:pPr>
      <w:r>
        <w:rPr>
          <w:rStyle w:val="FootnoteReference"/>
        </w:rPr>
        <w:t>3</w:t>
      </w:r>
      <w:r>
        <w:t xml:space="preserve"> See website:  </w:t>
      </w:r>
      <w:hyperlink r:id="rId4" w:history="1">
        <w:r>
          <w:rPr>
            <w:rStyle w:val="Hyperlink"/>
          </w:rPr>
          <w:t>https://www.jud4.org/Ex-Parte-Procedures-and-Dates</w:t>
        </w:r>
      </w:hyperlink>
    </w:p>
  </w:footnote>
  <w:footnote w:id="8">
    <w:p w14:paraId="2577E60D" w14:textId="21FD872F" w:rsidR="000343C1" w:rsidRDefault="000343C1">
      <w:pPr>
        <w:pStyle w:val="FootnoteText"/>
      </w:pPr>
      <w:r>
        <w:rPr>
          <w:rStyle w:val="FootnoteReference"/>
        </w:rPr>
        <w:t>3</w:t>
      </w:r>
      <w:r>
        <w:t xml:space="preserve"> See website:  </w:t>
      </w:r>
      <w:hyperlink r:id="rId5" w:history="1">
        <w:r>
          <w:rPr>
            <w:rStyle w:val="Hyperlink"/>
          </w:rPr>
          <w:t>https://www.jud4.org/Ex-Parte-Procedures-and-Dates</w:t>
        </w:r>
      </w:hyperlink>
    </w:p>
  </w:footnote>
  <w:footnote w:id="9">
    <w:p w14:paraId="08F2D38E" w14:textId="1E6B1A45" w:rsidR="000343C1" w:rsidRDefault="000343C1">
      <w:pPr>
        <w:pStyle w:val="FootnoteText"/>
      </w:pPr>
    </w:p>
  </w:footnote>
  <w:footnote w:id="10">
    <w:p w14:paraId="22141673" w14:textId="51022ED8" w:rsidR="00746D45" w:rsidRDefault="00DA2072">
      <w:pPr>
        <w:pStyle w:val="FootnoteText"/>
      </w:pPr>
      <w:r>
        <w:rPr>
          <w:rStyle w:val="FootnoteReference"/>
        </w:rPr>
        <w:t>3</w:t>
      </w:r>
      <w:r>
        <w:t xml:space="preserve"> See website:  </w:t>
      </w:r>
      <w:hyperlink r:id="rId6" w:history="1">
        <w:r>
          <w:rPr>
            <w:rStyle w:val="Hyperlink"/>
          </w:rPr>
          <w:t>https://www.jud4.org/Ex-Parte-Procedures-and-Dates</w:t>
        </w:r>
      </w:hyperlink>
    </w:p>
  </w:footnote>
  <w:footnote w:id="11">
    <w:p w14:paraId="01852916" w14:textId="1F9E56B3" w:rsidR="00333AFA" w:rsidRDefault="00333AFA">
      <w:pPr>
        <w:pStyle w:val="FootnoteText"/>
      </w:pPr>
      <w:r w:rsidRPr="00333AFA">
        <w:rPr>
          <w:rStyle w:val="FootnoteReference"/>
        </w:rPr>
        <w:sym w:font="Symbol" w:char="F033"/>
      </w:r>
      <w:r>
        <w:t xml:space="preserve"> </w:t>
      </w:r>
      <w:r w:rsidR="004159ED">
        <w:t xml:space="preserve">See website:  </w:t>
      </w:r>
      <w:hyperlink r:id="rId7" w:history="1">
        <w:r w:rsidR="004159ED">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5300AB06"/>
    <w:lvl w:ilvl="0" w:tplc="26DC3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C59FD"/>
    <w:rsid w:val="000E1C0F"/>
    <w:rsid w:val="000E2A35"/>
    <w:rsid w:val="000E5CED"/>
    <w:rsid w:val="000E7FBD"/>
    <w:rsid w:val="00111A9D"/>
    <w:rsid w:val="001122B0"/>
    <w:rsid w:val="00120302"/>
    <w:rsid w:val="0013097A"/>
    <w:rsid w:val="0013193D"/>
    <w:rsid w:val="0014208C"/>
    <w:rsid w:val="001509DD"/>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6287A"/>
    <w:rsid w:val="0047303D"/>
    <w:rsid w:val="004816AD"/>
    <w:rsid w:val="0048425F"/>
    <w:rsid w:val="0048791B"/>
    <w:rsid w:val="004977BF"/>
    <w:rsid w:val="00497853"/>
    <w:rsid w:val="004A4B6D"/>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50B3"/>
    <w:rsid w:val="00557183"/>
    <w:rsid w:val="005769F4"/>
    <w:rsid w:val="00580665"/>
    <w:rsid w:val="005807EF"/>
    <w:rsid w:val="00592A0F"/>
    <w:rsid w:val="005B3D8A"/>
    <w:rsid w:val="005C6B19"/>
    <w:rsid w:val="005D07FD"/>
    <w:rsid w:val="005D78A7"/>
    <w:rsid w:val="005E0DF4"/>
    <w:rsid w:val="005F704B"/>
    <w:rsid w:val="006137F6"/>
    <w:rsid w:val="006179D8"/>
    <w:rsid w:val="0062062D"/>
    <w:rsid w:val="006320E3"/>
    <w:rsid w:val="0064188C"/>
    <w:rsid w:val="0064202D"/>
    <w:rsid w:val="00654795"/>
    <w:rsid w:val="006617AE"/>
    <w:rsid w:val="00661D12"/>
    <w:rsid w:val="00663769"/>
    <w:rsid w:val="00674A4C"/>
    <w:rsid w:val="00681C43"/>
    <w:rsid w:val="0068205F"/>
    <w:rsid w:val="00692221"/>
    <w:rsid w:val="006C799C"/>
    <w:rsid w:val="006D3D89"/>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D1F3D"/>
    <w:rsid w:val="008E7ECF"/>
    <w:rsid w:val="008F40F8"/>
    <w:rsid w:val="008F6734"/>
    <w:rsid w:val="009001A5"/>
    <w:rsid w:val="00902B53"/>
    <w:rsid w:val="00904E1C"/>
    <w:rsid w:val="0091400B"/>
    <w:rsid w:val="009164FF"/>
    <w:rsid w:val="00925D4E"/>
    <w:rsid w:val="00950AF1"/>
    <w:rsid w:val="00955A5B"/>
    <w:rsid w:val="00971CDB"/>
    <w:rsid w:val="00981550"/>
    <w:rsid w:val="00984C82"/>
    <w:rsid w:val="009859C2"/>
    <w:rsid w:val="009864EF"/>
    <w:rsid w:val="009A34F3"/>
    <w:rsid w:val="009A3675"/>
    <w:rsid w:val="009C6DD6"/>
    <w:rsid w:val="009D2635"/>
    <w:rsid w:val="009D3C84"/>
    <w:rsid w:val="009D7192"/>
    <w:rsid w:val="009E4565"/>
    <w:rsid w:val="009E69C7"/>
    <w:rsid w:val="009F41A0"/>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3B0E"/>
    <w:rsid w:val="00A75432"/>
    <w:rsid w:val="00A76C94"/>
    <w:rsid w:val="00A810EE"/>
    <w:rsid w:val="00A92836"/>
    <w:rsid w:val="00A95B40"/>
    <w:rsid w:val="00AE2340"/>
    <w:rsid w:val="00AF0F68"/>
    <w:rsid w:val="00AF1769"/>
    <w:rsid w:val="00B05B5C"/>
    <w:rsid w:val="00B10770"/>
    <w:rsid w:val="00B129FA"/>
    <w:rsid w:val="00B244F3"/>
    <w:rsid w:val="00B31142"/>
    <w:rsid w:val="00B427AB"/>
    <w:rsid w:val="00B64B33"/>
    <w:rsid w:val="00B7189E"/>
    <w:rsid w:val="00B72863"/>
    <w:rsid w:val="00B73690"/>
    <w:rsid w:val="00B831D3"/>
    <w:rsid w:val="00B9222E"/>
    <w:rsid w:val="00B943A3"/>
    <w:rsid w:val="00BA31D6"/>
    <w:rsid w:val="00BA3379"/>
    <w:rsid w:val="00BA3ED5"/>
    <w:rsid w:val="00BA4D4B"/>
    <w:rsid w:val="00BA5108"/>
    <w:rsid w:val="00BB5421"/>
    <w:rsid w:val="00BC46BA"/>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91A2B"/>
    <w:rsid w:val="00C94FCA"/>
    <w:rsid w:val="00C95EA5"/>
    <w:rsid w:val="00C96CCE"/>
    <w:rsid w:val="00C9734D"/>
    <w:rsid w:val="00C977A8"/>
    <w:rsid w:val="00CB6A25"/>
    <w:rsid w:val="00CC15D7"/>
    <w:rsid w:val="00CC5CE1"/>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91CAF"/>
    <w:rsid w:val="00DA1CA0"/>
    <w:rsid w:val="00DA2072"/>
    <w:rsid w:val="00DA4319"/>
    <w:rsid w:val="00DC3A9F"/>
    <w:rsid w:val="00DF1EB7"/>
    <w:rsid w:val="00E1401A"/>
    <w:rsid w:val="00E16336"/>
    <w:rsid w:val="00E214AE"/>
    <w:rsid w:val="00E21EDD"/>
    <w:rsid w:val="00E379FD"/>
    <w:rsid w:val="00E573CD"/>
    <w:rsid w:val="00E62533"/>
    <w:rsid w:val="00E74219"/>
    <w:rsid w:val="00E750F1"/>
    <w:rsid w:val="00E818DB"/>
    <w:rsid w:val="00E8214A"/>
    <w:rsid w:val="00E87993"/>
    <w:rsid w:val="00E90D54"/>
    <w:rsid w:val="00E91CD5"/>
    <w:rsid w:val="00E96173"/>
    <w:rsid w:val="00EB4724"/>
    <w:rsid w:val="00EC25DE"/>
    <w:rsid w:val="00ED0767"/>
    <w:rsid w:val="00ED4C54"/>
    <w:rsid w:val="00ED5BB6"/>
    <w:rsid w:val="00ED6658"/>
    <w:rsid w:val="00ED72C8"/>
    <w:rsid w:val="00EE0EEB"/>
    <w:rsid w:val="00EE706C"/>
    <w:rsid w:val="00F01A80"/>
    <w:rsid w:val="00F2481F"/>
    <w:rsid w:val="00F30899"/>
    <w:rsid w:val="00F30D1F"/>
    <w:rsid w:val="00F412AA"/>
    <w:rsid w:val="00F50780"/>
    <w:rsid w:val="00F518A3"/>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2022-11-22T18:45:00Z</cp:lastPrinted>
  <dcterms:created xsi:type="dcterms:W3CDTF">2024-05-20T19:59:00Z</dcterms:created>
  <dcterms:modified xsi:type="dcterms:W3CDTF">2024-05-20T19:59:00Z</dcterms:modified>
</cp:coreProperties>
</file>